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86" w:rsidRDefault="00AE0186">
      <w:pPr>
        <w:rPr>
          <w:noProof/>
          <w:lang w:eastAsia="en-GB"/>
        </w:rPr>
      </w:pPr>
      <w:bookmarkStart w:id="0" w:name="_GoBack"/>
      <w:bookmarkEnd w:id="0"/>
      <w:r w:rsidRPr="007802C4">
        <w:rPr>
          <w:rFonts w:ascii="Arial" w:hAnsi="Arial" w:cs="Arial"/>
          <w:b/>
          <w:color w:val="31849B" w:themeColor="accent5" w:themeShade="BF"/>
          <w:sz w:val="72"/>
          <w:szCs w:val="72"/>
        </w:rPr>
        <w:t>London</w:t>
      </w:r>
      <w:r>
        <w:rPr>
          <w:noProof/>
          <w:lang w:eastAsia="en-GB"/>
        </w:rPr>
        <w:t xml:space="preserve"> </w:t>
      </w:r>
      <w:r>
        <w:rPr>
          <w:noProof/>
          <w:lang w:eastAsia="en-GB"/>
        </w:rPr>
        <w:drawing>
          <wp:inline distT="0" distB="0" distL="0" distR="0" wp14:anchorId="1C374A06" wp14:editId="101F8B78">
            <wp:extent cx="2266950" cy="7615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A[1]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5377" cy="761026"/>
                    </a:xfrm>
                    <a:prstGeom prst="rect">
                      <a:avLst/>
                    </a:prstGeom>
                  </pic:spPr>
                </pic:pic>
              </a:graphicData>
            </a:graphic>
          </wp:inline>
        </w:drawing>
      </w:r>
    </w:p>
    <w:p w:rsidR="00AE0186" w:rsidRPr="00AD5D32" w:rsidRDefault="00AE0186">
      <w:pPr>
        <w:rPr>
          <w:b/>
          <w:noProof/>
          <w:sz w:val="32"/>
          <w:szCs w:val="32"/>
          <w:lang w:eastAsia="en-GB"/>
        </w:rPr>
      </w:pPr>
      <w:r w:rsidRPr="00AD5D32">
        <w:rPr>
          <w:b/>
          <w:noProof/>
          <w:sz w:val="32"/>
          <w:szCs w:val="32"/>
          <w:lang w:eastAsia="en-GB"/>
        </w:rPr>
        <w:t>Afternoon Conference 6 November 2012, 2- 5 pm - London Councils</w:t>
      </w:r>
    </w:p>
    <w:p w:rsidR="00DF3793" w:rsidRDefault="00DF3793">
      <w:pPr>
        <w:rPr>
          <w:noProof/>
          <w:sz w:val="24"/>
          <w:szCs w:val="24"/>
          <w:lang w:eastAsia="en-GB"/>
        </w:rPr>
      </w:pPr>
      <w:r>
        <w:rPr>
          <w:b/>
          <w:noProof/>
          <w:sz w:val="24"/>
          <w:szCs w:val="24"/>
          <w:lang w:eastAsia="en-GB"/>
        </w:rPr>
        <w:t xml:space="preserve">Toni Ainge, chair of London cCLOA </w:t>
      </w:r>
      <w:r>
        <w:rPr>
          <w:noProof/>
          <w:sz w:val="24"/>
          <w:szCs w:val="24"/>
          <w:lang w:eastAsia="en-GB"/>
        </w:rPr>
        <w:t xml:space="preserve">welcomed delegates to the afternoon conference and noted this was the first time wehad been able to get together since the Olyymics and Queen’s Diamond Jubilee celebrations, which had proved all consuming for the sector but a great opportunity to showcase Culture and Sport. Toni was pleased to see so many people turn out for the conference, which she hoped would help to identify the needs of the sector and help to shape and reinvigorate London cCLOA by providing a supportuive local  network that meets the needs of its members. </w:t>
      </w:r>
      <w:r w:rsidR="00C27FDE">
        <w:rPr>
          <w:noProof/>
          <w:sz w:val="24"/>
          <w:szCs w:val="24"/>
          <w:lang w:eastAsia="en-GB"/>
        </w:rPr>
        <w:t xml:space="preserve">Flick called for case studies that the LGA can promote through it’s networks, case study ideas can be sent to </w:t>
      </w:r>
      <w:hyperlink r:id="rId8" w:history="1">
        <w:r w:rsidR="00C27FDE" w:rsidRPr="00982E37">
          <w:rPr>
            <w:rStyle w:val="Hyperlink"/>
            <w:noProof/>
            <w:sz w:val="24"/>
            <w:szCs w:val="24"/>
            <w:lang w:eastAsia="en-GB"/>
          </w:rPr>
          <w:t>cts@local.gov.uk</w:t>
        </w:r>
      </w:hyperlink>
    </w:p>
    <w:p w:rsidR="00DF3793" w:rsidRPr="00DF3793" w:rsidRDefault="00DF3793">
      <w:pPr>
        <w:rPr>
          <w:noProof/>
          <w:sz w:val="24"/>
          <w:szCs w:val="24"/>
          <w:lang w:eastAsia="en-GB"/>
        </w:rPr>
      </w:pPr>
      <w:r>
        <w:rPr>
          <w:noProof/>
          <w:sz w:val="24"/>
          <w:szCs w:val="24"/>
          <w:lang w:eastAsia="en-GB"/>
        </w:rPr>
        <w:t>Dates for meeting s in 2013 will be circulated shortly</w:t>
      </w:r>
    </w:p>
    <w:p w:rsidR="006C4C35" w:rsidRDefault="006C4C35" w:rsidP="00DF3793">
      <w:pPr>
        <w:jc w:val="both"/>
        <w:rPr>
          <w:b/>
          <w:noProof/>
          <w:sz w:val="24"/>
          <w:szCs w:val="24"/>
          <w:lang w:eastAsia="en-GB"/>
        </w:rPr>
      </w:pPr>
      <w:r>
        <w:rPr>
          <w:b/>
          <w:noProof/>
          <w:sz w:val="24"/>
          <w:szCs w:val="24"/>
          <w:lang w:eastAsia="en-GB"/>
        </w:rPr>
        <w:t>Cllr Flick Rea, LGA</w:t>
      </w:r>
      <w:r w:rsidRPr="006C4C35">
        <w:rPr>
          <w:b/>
          <w:noProof/>
          <w:sz w:val="24"/>
          <w:szCs w:val="24"/>
          <w:lang w:eastAsia="en-GB"/>
        </w:rPr>
        <w:t>“Funding Outlook for Councils”</w:t>
      </w:r>
    </w:p>
    <w:p w:rsidR="00AE0186" w:rsidRDefault="00DF3793">
      <w:pPr>
        <w:rPr>
          <w:noProof/>
          <w:sz w:val="24"/>
          <w:szCs w:val="24"/>
          <w:lang w:eastAsia="en-GB"/>
        </w:rPr>
      </w:pPr>
      <w:r>
        <w:rPr>
          <w:noProof/>
          <w:sz w:val="24"/>
          <w:szCs w:val="24"/>
          <w:lang w:eastAsia="en-GB"/>
        </w:rPr>
        <w:t>Cllr Flick Rae gave a very entertaining and positive presentation, despite the grim funding outlook facing Local Authorities in coming years. She challenged the sector to be innovative and creative and to take the opportunities presented by the health and comissioning agendas</w:t>
      </w:r>
      <w:r w:rsidR="001E0C7D">
        <w:rPr>
          <w:noProof/>
          <w:sz w:val="24"/>
          <w:szCs w:val="24"/>
          <w:lang w:eastAsia="en-GB"/>
        </w:rPr>
        <w:t xml:space="preserve"> and to stimulaste growth through developing the creative undustries and the visitor economy</w:t>
      </w:r>
      <w:r>
        <w:rPr>
          <w:noProof/>
          <w:sz w:val="24"/>
          <w:szCs w:val="24"/>
          <w:lang w:eastAsia="en-GB"/>
        </w:rPr>
        <w:t>.</w:t>
      </w:r>
    </w:p>
    <w:p w:rsidR="00DF3793" w:rsidRDefault="00DF3793">
      <w:pPr>
        <w:rPr>
          <w:noProof/>
          <w:sz w:val="24"/>
          <w:szCs w:val="24"/>
          <w:lang w:eastAsia="en-GB"/>
        </w:rPr>
      </w:pPr>
      <w:r>
        <w:rPr>
          <w:noProof/>
          <w:sz w:val="24"/>
          <w:szCs w:val="24"/>
          <w:lang w:eastAsia="en-GB"/>
        </w:rPr>
        <w:t xml:space="preserve">The LGA report </w:t>
      </w:r>
      <w:r w:rsidR="004D08D5">
        <w:rPr>
          <w:noProof/>
          <w:sz w:val="24"/>
          <w:szCs w:val="24"/>
          <w:lang w:eastAsia="en-GB"/>
        </w:rPr>
        <w:t xml:space="preserve">on </w:t>
      </w:r>
      <w:hyperlink r:id="rId9" w:history="1">
        <w:r w:rsidRPr="004D08D5">
          <w:rPr>
            <w:rStyle w:val="Hyperlink"/>
            <w:noProof/>
            <w:sz w:val="24"/>
            <w:szCs w:val="24"/>
            <w:lang w:eastAsia="en-GB"/>
          </w:rPr>
          <w:t>Funding Outlook for Councils can be found here</w:t>
        </w:r>
      </w:hyperlink>
      <w:r w:rsidR="004D08D5">
        <w:rPr>
          <w:noProof/>
          <w:sz w:val="24"/>
          <w:szCs w:val="24"/>
          <w:lang w:eastAsia="en-GB"/>
        </w:rPr>
        <w:t>:</w:t>
      </w:r>
    </w:p>
    <w:p w:rsidR="004D08D5" w:rsidRDefault="004D08D5">
      <w:pPr>
        <w:rPr>
          <w:b/>
          <w:noProof/>
          <w:sz w:val="24"/>
          <w:szCs w:val="24"/>
          <w:lang w:eastAsia="en-GB"/>
        </w:rPr>
      </w:pPr>
      <w:r w:rsidRPr="004D08D5">
        <w:rPr>
          <w:b/>
          <w:noProof/>
          <w:sz w:val="24"/>
          <w:szCs w:val="24"/>
          <w:lang w:eastAsia="en-GB"/>
        </w:rPr>
        <w:t>Eric Bohl, ACTIVIST GROUP“SOLACE Guide to commissioning and alternative funding models”</w:t>
      </w:r>
    </w:p>
    <w:p w:rsidR="004D08D5" w:rsidRDefault="004D08D5">
      <w:pPr>
        <w:rPr>
          <w:noProof/>
          <w:sz w:val="24"/>
          <w:szCs w:val="24"/>
          <w:lang w:eastAsia="en-GB"/>
        </w:rPr>
      </w:pPr>
      <w:r>
        <w:rPr>
          <w:noProof/>
          <w:sz w:val="24"/>
          <w:szCs w:val="24"/>
          <w:lang w:eastAsia="en-GB"/>
        </w:rPr>
        <w:t>Eric has written an informative guide to comissioning for SOLACE ( Society of Local Authority Chief Executives)</w:t>
      </w:r>
      <w:r w:rsidR="00C27FDE">
        <w:rPr>
          <w:noProof/>
          <w:sz w:val="24"/>
          <w:szCs w:val="24"/>
          <w:lang w:eastAsia="en-GB"/>
        </w:rPr>
        <w:t xml:space="preserve"> he was able to give us an insight into how CEO’;s regard the comissioningagenda and the ten conditions for success. Eric also explained how comissioning and sourcing are related and the importance about having a clear strategy and making rational decsions about sourcing through throuigh options appraisals</w:t>
      </w:r>
      <w:r w:rsidR="00AD5D32">
        <w:rPr>
          <w:noProof/>
          <w:sz w:val="24"/>
          <w:szCs w:val="24"/>
          <w:lang w:eastAsia="en-GB"/>
        </w:rPr>
        <w:t>. He also warned that developing alternative funding and governance models took time and required investment in order to reap the benefits and savings in the future.</w:t>
      </w:r>
    </w:p>
    <w:p w:rsidR="00AD5D32" w:rsidRDefault="00AD5D32" w:rsidP="00AD5D32">
      <w:pPr>
        <w:rPr>
          <w:b/>
          <w:noProof/>
          <w:sz w:val="24"/>
          <w:szCs w:val="24"/>
          <w:lang w:eastAsia="en-GB"/>
        </w:rPr>
      </w:pPr>
      <w:r w:rsidRPr="00AD5D32">
        <w:rPr>
          <w:b/>
          <w:noProof/>
          <w:sz w:val="24"/>
          <w:szCs w:val="24"/>
          <w:lang w:eastAsia="en-GB"/>
        </w:rPr>
        <w:t>Brian Leonard, SPORTA “Hot Topics for the Trust Sector”</w:t>
      </w:r>
    </w:p>
    <w:p w:rsidR="006D2FCC" w:rsidRDefault="00AD5D32" w:rsidP="00AD5D32">
      <w:pPr>
        <w:rPr>
          <w:noProof/>
          <w:sz w:val="24"/>
          <w:szCs w:val="24"/>
          <w:lang w:eastAsia="en-GB"/>
        </w:rPr>
      </w:pPr>
      <w:r>
        <w:rPr>
          <w:noProof/>
          <w:sz w:val="24"/>
          <w:szCs w:val="24"/>
          <w:lang w:eastAsia="en-GB"/>
        </w:rPr>
        <w:t xml:space="preserve">Brian gave and insightful presentation into the Trust sector, he expained the benefits of Trusts and the various models that were possible. He also reiterated that it was vital to undersatnd why a Trust was needed and the importance of continuing to work in partnership with the Local Authority in order to reap the benefits for the local community and that identifyingthe benefits sought in advance, especially since the rates and VAT </w:t>
      </w:r>
      <w:r>
        <w:rPr>
          <w:noProof/>
          <w:sz w:val="24"/>
          <w:szCs w:val="24"/>
          <w:lang w:eastAsia="en-GB"/>
        </w:rPr>
        <w:lastRenderedPageBreak/>
        <w:t xml:space="preserve">benefits are to be </w:t>
      </w:r>
      <w:r w:rsidR="006D2FCC">
        <w:rPr>
          <w:noProof/>
          <w:sz w:val="24"/>
          <w:szCs w:val="24"/>
          <w:lang w:eastAsia="en-GB"/>
        </w:rPr>
        <w:t>reduced. Sporta is leading on building a case to ask Government to explain the impact of the changes to rates and VAT relief on the sector.</w:t>
      </w:r>
    </w:p>
    <w:p w:rsidR="00AD5D32" w:rsidRDefault="006D2FCC" w:rsidP="00AD5D32">
      <w:pPr>
        <w:rPr>
          <w:b/>
          <w:noProof/>
          <w:sz w:val="24"/>
          <w:szCs w:val="24"/>
          <w:lang w:eastAsia="en-GB"/>
        </w:rPr>
      </w:pPr>
      <w:r w:rsidRPr="006D2FCC">
        <w:rPr>
          <w:b/>
          <w:noProof/>
          <w:sz w:val="24"/>
          <w:szCs w:val="24"/>
          <w:lang w:eastAsia="en-GB"/>
        </w:rPr>
        <w:t>Joel Brookfield, SPORT ENGLAND</w:t>
      </w:r>
      <w:r w:rsidRPr="006D2FCC">
        <w:rPr>
          <w:noProof/>
          <w:sz w:val="24"/>
          <w:szCs w:val="24"/>
          <w:lang w:eastAsia="en-GB"/>
        </w:rPr>
        <w:t xml:space="preserve"> </w:t>
      </w:r>
      <w:r w:rsidRPr="006D2FCC">
        <w:rPr>
          <w:b/>
          <w:noProof/>
          <w:sz w:val="24"/>
          <w:szCs w:val="24"/>
          <w:lang w:eastAsia="en-GB"/>
        </w:rPr>
        <w:t>“Embedding Commissioning for sport &amp; leisure</w:t>
      </w:r>
    </w:p>
    <w:p w:rsidR="006D2FCC" w:rsidRDefault="006D2FCC" w:rsidP="00AD5D32">
      <w:pPr>
        <w:rPr>
          <w:noProof/>
          <w:sz w:val="24"/>
          <w:szCs w:val="24"/>
          <w:lang w:eastAsia="en-GB"/>
        </w:rPr>
      </w:pPr>
      <w:r>
        <w:rPr>
          <w:noProof/>
          <w:sz w:val="24"/>
          <w:szCs w:val="24"/>
          <w:lang w:eastAsia="en-GB"/>
        </w:rPr>
        <w:t xml:space="preserve">Joel outlined how sports services might change in the future, in particular the opportunities that </w:t>
      </w:r>
      <w:r w:rsidRPr="006D2FCC">
        <w:rPr>
          <w:noProof/>
          <w:sz w:val="24"/>
          <w:szCs w:val="24"/>
          <w:lang w:eastAsia="en-GB"/>
        </w:rPr>
        <w:t xml:space="preserve">commisioning agenda </w:t>
      </w:r>
      <w:r>
        <w:rPr>
          <w:noProof/>
          <w:sz w:val="24"/>
          <w:szCs w:val="24"/>
          <w:lang w:eastAsia="en-GB"/>
        </w:rPr>
        <w:t>presented to the sector. He announced the £40m Community Sport Activation Fund which will be directed at Local Authorities and their partners to help embed the comissioning model and support local interventions based on evidence of need.</w:t>
      </w:r>
    </w:p>
    <w:p w:rsidR="006D2FCC" w:rsidRPr="006D2FCC" w:rsidRDefault="006D2FCC" w:rsidP="00AD5D32">
      <w:pPr>
        <w:rPr>
          <w:noProof/>
          <w:sz w:val="24"/>
          <w:szCs w:val="24"/>
          <w:lang w:eastAsia="en-GB"/>
        </w:rPr>
      </w:pPr>
      <w:r>
        <w:rPr>
          <w:noProof/>
          <w:sz w:val="24"/>
          <w:szCs w:val="24"/>
          <w:lang w:eastAsia="en-GB"/>
        </w:rPr>
        <w:t>The first round of £250K will be in January 2013 with further rounds later in the year. The Match funding requirement ( in cash and in kind) is expected to be 1/3.</w:t>
      </w:r>
    </w:p>
    <w:p w:rsidR="006D2FCC" w:rsidRPr="006D2FCC" w:rsidRDefault="006D2FCC" w:rsidP="006D2FCC">
      <w:pPr>
        <w:rPr>
          <w:noProof/>
          <w:sz w:val="24"/>
          <w:szCs w:val="24"/>
          <w:lang w:eastAsia="en-GB"/>
        </w:rPr>
      </w:pPr>
      <w:r w:rsidRPr="006D2FCC">
        <w:rPr>
          <w:b/>
          <w:noProof/>
          <w:sz w:val="24"/>
          <w:szCs w:val="24"/>
          <w:lang w:eastAsia="en-GB"/>
        </w:rPr>
        <w:t>Heidi Bellamy</w:t>
      </w:r>
      <w:r>
        <w:rPr>
          <w:b/>
          <w:noProof/>
          <w:sz w:val="24"/>
          <w:szCs w:val="24"/>
          <w:lang w:eastAsia="en-GB"/>
        </w:rPr>
        <w:t>,</w:t>
      </w:r>
      <w:r w:rsidRPr="006D2FCC">
        <w:rPr>
          <w:b/>
          <w:noProof/>
          <w:sz w:val="24"/>
          <w:szCs w:val="24"/>
          <w:lang w:eastAsia="en-GB"/>
        </w:rPr>
        <w:t xml:space="preserve"> cCLOA“Benefits of cCLOA Membership”</w:t>
      </w:r>
    </w:p>
    <w:p w:rsidR="00AD5D32" w:rsidRDefault="006D2FCC">
      <w:pPr>
        <w:rPr>
          <w:noProof/>
          <w:sz w:val="24"/>
          <w:szCs w:val="24"/>
          <w:lang w:eastAsia="en-GB"/>
        </w:rPr>
      </w:pPr>
      <w:r>
        <w:rPr>
          <w:noProof/>
          <w:sz w:val="24"/>
          <w:szCs w:val="24"/>
          <w:lang w:eastAsia="en-GB"/>
        </w:rPr>
        <w:t xml:space="preserve">Heidi outlined the importance </w:t>
      </w:r>
      <w:r w:rsidR="00790387">
        <w:rPr>
          <w:noProof/>
          <w:sz w:val="24"/>
          <w:szCs w:val="24"/>
          <w:lang w:eastAsia="en-GB"/>
        </w:rPr>
        <w:t xml:space="preserve">and benefits </w:t>
      </w:r>
      <w:r>
        <w:rPr>
          <w:noProof/>
          <w:sz w:val="24"/>
          <w:szCs w:val="24"/>
          <w:lang w:eastAsia="en-GB"/>
        </w:rPr>
        <w:t xml:space="preserve">of membership of cCLOA and </w:t>
      </w:r>
      <w:r w:rsidR="00790387">
        <w:rPr>
          <w:noProof/>
          <w:sz w:val="24"/>
          <w:szCs w:val="24"/>
          <w:lang w:eastAsia="en-GB"/>
        </w:rPr>
        <w:t xml:space="preserve">the elegibility criteria. CCLOA ‘s national conference will be at Lillishall on the 14 June 2013. She also mentioned that she had had a demonstartion of the Sport England “ Heat Tool” </w:t>
      </w:r>
      <w:r w:rsidR="003A1050">
        <w:rPr>
          <w:noProof/>
          <w:sz w:val="24"/>
          <w:szCs w:val="24"/>
          <w:lang w:eastAsia="en-GB"/>
        </w:rPr>
        <w:t>( HEALTH ECONOMIC ASSESSMENT TOOL)</w:t>
      </w:r>
      <w:r w:rsidR="00790387">
        <w:rPr>
          <w:noProof/>
          <w:sz w:val="24"/>
          <w:szCs w:val="24"/>
          <w:lang w:eastAsia="en-GB"/>
        </w:rPr>
        <w:t>which will be really helpful in making the case for commisisoned funds.  Joel agreed to forward the tool to London mailing list.</w:t>
      </w:r>
    </w:p>
    <w:p w:rsidR="00790387" w:rsidRDefault="00193CF3">
      <w:pPr>
        <w:rPr>
          <w:b/>
          <w:noProof/>
          <w:sz w:val="24"/>
          <w:szCs w:val="24"/>
          <w:lang w:eastAsia="en-GB"/>
        </w:rPr>
      </w:pPr>
      <w:r w:rsidRPr="00193CF3">
        <w:rPr>
          <w:b/>
          <w:noProof/>
          <w:sz w:val="24"/>
          <w:szCs w:val="24"/>
          <w:lang w:eastAsia="en-GB"/>
        </w:rPr>
        <w:t>Kim Wright, LB Hackney</w:t>
      </w:r>
      <w:r w:rsidRPr="00193CF3">
        <w:rPr>
          <w:noProof/>
          <w:sz w:val="24"/>
          <w:szCs w:val="24"/>
          <w:lang w:eastAsia="en-GB"/>
        </w:rPr>
        <w:t xml:space="preserve"> </w:t>
      </w:r>
      <w:r w:rsidRPr="00193CF3">
        <w:rPr>
          <w:b/>
          <w:noProof/>
          <w:sz w:val="24"/>
          <w:szCs w:val="24"/>
          <w:lang w:eastAsia="en-GB"/>
        </w:rPr>
        <w:t>“Opportunities for Culture to deliver on health and</w:t>
      </w:r>
      <w:r w:rsidRPr="00193CF3">
        <w:rPr>
          <w:noProof/>
          <w:sz w:val="24"/>
          <w:szCs w:val="24"/>
          <w:lang w:eastAsia="en-GB"/>
        </w:rPr>
        <w:t xml:space="preserve"> </w:t>
      </w:r>
      <w:r w:rsidRPr="00193CF3">
        <w:rPr>
          <w:b/>
          <w:noProof/>
          <w:sz w:val="24"/>
          <w:szCs w:val="24"/>
          <w:lang w:eastAsia="en-GB"/>
        </w:rPr>
        <w:t>social care”</w:t>
      </w:r>
    </w:p>
    <w:p w:rsidR="00193CF3" w:rsidRDefault="00FE67DD">
      <w:pPr>
        <w:rPr>
          <w:noProof/>
          <w:sz w:val="24"/>
          <w:szCs w:val="24"/>
          <w:lang w:eastAsia="en-GB"/>
        </w:rPr>
      </w:pPr>
      <w:r>
        <w:rPr>
          <w:noProof/>
          <w:sz w:val="24"/>
          <w:szCs w:val="24"/>
          <w:lang w:eastAsia="en-GB"/>
        </w:rPr>
        <w:t>Kim held a discussion session outlining the key opportunity that is presented by the health agenda and in particular commissioning. She tasked the sector to rise to the challenge and to capitalise on this opportunity as there will not be another chance. It would be useful for cCLOA to share evidence and work together rather than in silos, the London cCLOA Network can help with this and London Councils may be able to provide a central resource to host evidence.</w:t>
      </w:r>
    </w:p>
    <w:p w:rsidR="00FE67DD" w:rsidRDefault="00FE67DD">
      <w:pPr>
        <w:rPr>
          <w:noProof/>
          <w:sz w:val="24"/>
          <w:szCs w:val="24"/>
          <w:lang w:eastAsia="en-GB"/>
        </w:rPr>
      </w:pPr>
      <w:r>
        <w:rPr>
          <w:noProof/>
          <w:sz w:val="24"/>
          <w:szCs w:val="24"/>
          <w:lang w:eastAsia="en-GB"/>
        </w:rPr>
        <w:t>Kim noted that decomissioning is a real issue and one that does affect culture and sport servi</w:t>
      </w:r>
      <w:r w:rsidR="00553F27">
        <w:rPr>
          <w:noProof/>
          <w:sz w:val="24"/>
          <w:szCs w:val="24"/>
          <w:lang w:eastAsia="en-GB"/>
        </w:rPr>
        <w:t>c</w:t>
      </w:r>
      <w:r>
        <w:rPr>
          <w:noProof/>
          <w:sz w:val="24"/>
          <w:szCs w:val="24"/>
          <w:lang w:eastAsia="en-GB"/>
        </w:rPr>
        <w:t>es</w:t>
      </w:r>
      <w:r w:rsidR="003A1050">
        <w:rPr>
          <w:noProof/>
          <w:sz w:val="24"/>
          <w:szCs w:val="24"/>
          <w:lang w:eastAsia="en-GB"/>
        </w:rPr>
        <w:t xml:space="preserve"> which may have a part to play in providing alternative services.</w:t>
      </w:r>
    </w:p>
    <w:p w:rsidR="003A1050" w:rsidRDefault="003A1050">
      <w:pPr>
        <w:rPr>
          <w:b/>
          <w:noProof/>
          <w:sz w:val="24"/>
          <w:szCs w:val="24"/>
          <w:lang w:eastAsia="en-GB"/>
        </w:rPr>
      </w:pPr>
      <w:r w:rsidRPr="003A1050">
        <w:rPr>
          <w:b/>
          <w:noProof/>
          <w:sz w:val="24"/>
          <w:szCs w:val="24"/>
          <w:lang w:eastAsia="en-GB"/>
        </w:rPr>
        <w:t>Break Out Sessions</w:t>
      </w:r>
    </w:p>
    <w:p w:rsidR="003A1050" w:rsidRDefault="003A1050">
      <w:pPr>
        <w:rPr>
          <w:b/>
          <w:noProof/>
          <w:sz w:val="24"/>
          <w:szCs w:val="24"/>
          <w:lang w:eastAsia="en-GB"/>
        </w:rPr>
      </w:pPr>
      <w:r>
        <w:rPr>
          <w:b/>
          <w:noProof/>
          <w:sz w:val="24"/>
          <w:szCs w:val="24"/>
          <w:lang w:eastAsia="en-GB"/>
        </w:rPr>
        <w:t xml:space="preserve">1 </w:t>
      </w:r>
      <w:r w:rsidRPr="003A1050">
        <w:rPr>
          <w:b/>
          <w:noProof/>
          <w:sz w:val="24"/>
          <w:szCs w:val="24"/>
          <w:lang w:eastAsia="en-GB"/>
        </w:rPr>
        <w:t>“Engaging in Commissioning”</w:t>
      </w:r>
    </w:p>
    <w:p w:rsidR="003A1050" w:rsidRDefault="003A1050">
      <w:pPr>
        <w:rPr>
          <w:noProof/>
          <w:sz w:val="24"/>
          <w:szCs w:val="24"/>
          <w:lang w:eastAsia="en-GB"/>
        </w:rPr>
      </w:pPr>
      <w:r w:rsidRPr="003A1050">
        <w:rPr>
          <w:noProof/>
          <w:sz w:val="24"/>
          <w:szCs w:val="24"/>
          <w:lang w:eastAsia="en-GB"/>
        </w:rPr>
        <w:t xml:space="preserve">The guide to understanding comissioning can be found on the </w:t>
      </w:r>
      <w:hyperlink r:id="rId10" w:history="1">
        <w:r w:rsidRPr="003A1050">
          <w:rPr>
            <w:rStyle w:val="Hyperlink"/>
            <w:noProof/>
            <w:sz w:val="24"/>
            <w:szCs w:val="24"/>
            <w:lang w:eastAsia="en-GB"/>
          </w:rPr>
          <w:t>LGA website</w:t>
        </w:r>
      </w:hyperlink>
      <w:r>
        <w:rPr>
          <w:noProof/>
          <w:sz w:val="24"/>
          <w:szCs w:val="24"/>
          <w:lang w:eastAsia="en-GB"/>
        </w:rPr>
        <w:t>- this offers a step by step guide to understanding and using the comissioning process, evidence is key as is a knowledge of the health outcomes framework.</w:t>
      </w:r>
    </w:p>
    <w:p w:rsidR="007F70D5" w:rsidRPr="002E3A59" w:rsidRDefault="007F70D5">
      <w:pPr>
        <w:rPr>
          <w:b/>
          <w:noProof/>
          <w:sz w:val="24"/>
          <w:szCs w:val="24"/>
          <w:lang w:eastAsia="en-GB"/>
        </w:rPr>
      </w:pPr>
      <w:r w:rsidRPr="002E3A59">
        <w:rPr>
          <w:b/>
          <w:noProof/>
          <w:sz w:val="24"/>
          <w:szCs w:val="24"/>
          <w:lang w:eastAsia="en-GB"/>
        </w:rPr>
        <w:t xml:space="preserve">2 </w:t>
      </w:r>
      <w:r w:rsidR="002E3A59" w:rsidRPr="002E3A59">
        <w:rPr>
          <w:b/>
          <w:noProof/>
          <w:sz w:val="24"/>
          <w:szCs w:val="24"/>
          <w:lang w:eastAsia="en-GB"/>
        </w:rPr>
        <w:t>“Rising to the Challenges of the Future”</w:t>
      </w:r>
    </w:p>
    <w:p w:rsidR="003A1050" w:rsidRPr="00982F08" w:rsidRDefault="00982F08">
      <w:pPr>
        <w:rPr>
          <w:noProof/>
          <w:sz w:val="24"/>
          <w:szCs w:val="24"/>
          <w:lang w:eastAsia="en-GB"/>
        </w:rPr>
      </w:pPr>
      <w:r>
        <w:rPr>
          <w:noProof/>
          <w:sz w:val="24"/>
          <w:szCs w:val="24"/>
          <w:lang w:eastAsia="en-GB"/>
        </w:rPr>
        <w:t>Notes to follow</w:t>
      </w:r>
    </w:p>
    <w:sectPr w:rsidR="003A1050" w:rsidRPr="00982F08" w:rsidSect="00AD5D32">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AB" w:rsidRDefault="008342AB" w:rsidP="00AD5D32">
      <w:pPr>
        <w:spacing w:after="0" w:line="240" w:lineRule="auto"/>
      </w:pPr>
      <w:r>
        <w:separator/>
      </w:r>
    </w:p>
  </w:endnote>
  <w:endnote w:type="continuationSeparator" w:id="0">
    <w:p w:rsidR="008342AB" w:rsidRDefault="008342AB" w:rsidP="00AD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97652"/>
      <w:docPartObj>
        <w:docPartGallery w:val="Page Numbers (Bottom of Page)"/>
        <w:docPartUnique/>
      </w:docPartObj>
    </w:sdtPr>
    <w:sdtEndPr>
      <w:rPr>
        <w:noProof/>
      </w:rPr>
    </w:sdtEndPr>
    <w:sdtContent>
      <w:p w:rsidR="00AD5D32" w:rsidRDefault="00AD5D32">
        <w:pPr>
          <w:pStyle w:val="Footer"/>
          <w:jc w:val="right"/>
        </w:pPr>
        <w:r>
          <w:fldChar w:fldCharType="begin"/>
        </w:r>
        <w:r>
          <w:instrText xml:space="preserve"> PAGE   \* MERGEFORMAT </w:instrText>
        </w:r>
        <w:r>
          <w:fldChar w:fldCharType="separate"/>
        </w:r>
        <w:r w:rsidR="005A6607">
          <w:rPr>
            <w:noProof/>
          </w:rPr>
          <w:t>2</w:t>
        </w:r>
        <w:r>
          <w:rPr>
            <w:noProof/>
          </w:rPr>
          <w:fldChar w:fldCharType="end"/>
        </w:r>
      </w:p>
    </w:sdtContent>
  </w:sdt>
  <w:p w:rsidR="00AD5D32" w:rsidRDefault="00AD5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AB" w:rsidRDefault="008342AB" w:rsidP="00AD5D32">
      <w:pPr>
        <w:spacing w:after="0" w:line="240" w:lineRule="auto"/>
      </w:pPr>
      <w:r>
        <w:separator/>
      </w:r>
    </w:p>
  </w:footnote>
  <w:footnote w:type="continuationSeparator" w:id="0">
    <w:p w:rsidR="008342AB" w:rsidRDefault="008342AB" w:rsidP="00AD5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86"/>
    <w:rsid w:val="00193CF3"/>
    <w:rsid w:val="001B2DE7"/>
    <w:rsid w:val="001E0C7D"/>
    <w:rsid w:val="002E3A59"/>
    <w:rsid w:val="003A1050"/>
    <w:rsid w:val="004D08D5"/>
    <w:rsid w:val="00553F27"/>
    <w:rsid w:val="005A6607"/>
    <w:rsid w:val="006C4C35"/>
    <w:rsid w:val="006D2FCC"/>
    <w:rsid w:val="00790387"/>
    <w:rsid w:val="007F70D5"/>
    <w:rsid w:val="008342AB"/>
    <w:rsid w:val="00982F08"/>
    <w:rsid w:val="00AD5D32"/>
    <w:rsid w:val="00AE0186"/>
    <w:rsid w:val="00C27FDE"/>
    <w:rsid w:val="00D20164"/>
    <w:rsid w:val="00DF3793"/>
    <w:rsid w:val="00EE09DE"/>
    <w:rsid w:val="00FE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86"/>
    <w:rPr>
      <w:rFonts w:ascii="Tahoma" w:hAnsi="Tahoma" w:cs="Tahoma"/>
      <w:sz w:val="16"/>
      <w:szCs w:val="16"/>
    </w:rPr>
  </w:style>
  <w:style w:type="character" w:styleId="Hyperlink">
    <w:name w:val="Hyperlink"/>
    <w:basedOn w:val="DefaultParagraphFont"/>
    <w:uiPriority w:val="99"/>
    <w:unhideWhenUsed/>
    <w:rsid w:val="004D08D5"/>
    <w:rPr>
      <w:color w:val="0000FF" w:themeColor="hyperlink"/>
      <w:u w:val="single"/>
    </w:rPr>
  </w:style>
  <w:style w:type="paragraph" w:styleId="Header">
    <w:name w:val="header"/>
    <w:basedOn w:val="Normal"/>
    <w:link w:val="HeaderChar"/>
    <w:uiPriority w:val="99"/>
    <w:unhideWhenUsed/>
    <w:rsid w:val="00AD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D32"/>
  </w:style>
  <w:style w:type="paragraph" w:styleId="Footer">
    <w:name w:val="footer"/>
    <w:basedOn w:val="Normal"/>
    <w:link w:val="FooterChar"/>
    <w:uiPriority w:val="99"/>
    <w:unhideWhenUsed/>
    <w:rsid w:val="00AD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86"/>
    <w:rPr>
      <w:rFonts w:ascii="Tahoma" w:hAnsi="Tahoma" w:cs="Tahoma"/>
      <w:sz w:val="16"/>
      <w:szCs w:val="16"/>
    </w:rPr>
  </w:style>
  <w:style w:type="character" w:styleId="Hyperlink">
    <w:name w:val="Hyperlink"/>
    <w:basedOn w:val="DefaultParagraphFont"/>
    <w:uiPriority w:val="99"/>
    <w:unhideWhenUsed/>
    <w:rsid w:val="004D08D5"/>
    <w:rPr>
      <w:color w:val="0000FF" w:themeColor="hyperlink"/>
      <w:u w:val="single"/>
    </w:rPr>
  </w:style>
  <w:style w:type="paragraph" w:styleId="Header">
    <w:name w:val="header"/>
    <w:basedOn w:val="Normal"/>
    <w:link w:val="HeaderChar"/>
    <w:uiPriority w:val="99"/>
    <w:unhideWhenUsed/>
    <w:rsid w:val="00AD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D32"/>
  </w:style>
  <w:style w:type="paragraph" w:styleId="Footer">
    <w:name w:val="footer"/>
    <w:basedOn w:val="Normal"/>
    <w:link w:val="FooterChar"/>
    <w:uiPriority w:val="99"/>
    <w:unhideWhenUsed/>
    <w:rsid w:val="00AD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loca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ocal.gov.uk/web/guest/culture-tourism-and-sport/-/journal_content/56/10171/3510882/ARTICLE-TEMPLATE" TargetMode="External"/><Relationship Id="rId4" Type="http://schemas.openxmlformats.org/officeDocument/2006/relationships/webSettings" Target="webSettings.xml"/><Relationship Id="rId9" Type="http://schemas.openxmlformats.org/officeDocument/2006/relationships/hyperlink" Target="http://www.local.gov.uk/c/document_library/get_file?uuid=01a7770d-ed32-4bac-ae43-8fb4090e5d65&amp;groupId=1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Thiedeman</dc:creator>
  <cp:lastModifiedBy>Culture First</cp:lastModifiedBy>
  <cp:revision>2</cp:revision>
  <dcterms:created xsi:type="dcterms:W3CDTF">2012-12-06T10:32:00Z</dcterms:created>
  <dcterms:modified xsi:type="dcterms:W3CDTF">2012-12-06T10:32:00Z</dcterms:modified>
</cp:coreProperties>
</file>